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8A3" w:rsidRDefault="00DF28A3" w:rsidP="00DF28A3">
      <w:pPr>
        <w:pStyle w:val="Standard"/>
        <w:ind w:left="708" w:firstLine="708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Acetabulumtörések ellátása – szakmai ajánlás</w:t>
      </w:r>
    </w:p>
    <w:p w:rsidR="00DF28A3" w:rsidRDefault="00DF28A3" w:rsidP="00DF28A3">
      <w:pPr>
        <w:pStyle w:val="Standard"/>
        <w:ind w:left="708" w:firstLine="708"/>
        <w:jc w:val="center"/>
        <w:rPr>
          <w:b/>
          <w:sz w:val="28"/>
        </w:rPr>
      </w:pPr>
      <w:r>
        <w:rPr>
          <w:b/>
          <w:sz w:val="28"/>
        </w:rPr>
        <w:t>AO/OTA törés beosztás szerinti 62-es régió</w:t>
      </w:r>
    </w:p>
    <w:p w:rsidR="00DF28A3" w:rsidRDefault="00DF28A3" w:rsidP="00DF28A3">
      <w:pPr>
        <w:pStyle w:val="Standard"/>
        <w:ind w:left="708" w:firstLine="708"/>
        <w:jc w:val="center"/>
        <w:rPr>
          <w:b/>
          <w:sz w:val="28"/>
        </w:rPr>
      </w:pPr>
      <w:r>
        <w:rPr>
          <w:b/>
          <w:sz w:val="28"/>
        </w:rPr>
        <w:t xml:space="preserve">Készítette: </w:t>
      </w:r>
      <w:r w:rsidR="00823711">
        <w:rPr>
          <w:b/>
          <w:sz w:val="28"/>
        </w:rPr>
        <w:t>a MTT munkacsoportja</w:t>
      </w:r>
    </w:p>
    <w:bookmarkEnd w:id="0"/>
    <w:p w:rsidR="00DF28A3" w:rsidRDefault="00DF28A3" w:rsidP="00DF28A3">
      <w:pPr>
        <w:pStyle w:val="Standard"/>
        <w:ind w:left="708" w:firstLine="708"/>
        <w:jc w:val="center"/>
        <w:rPr>
          <w:b/>
          <w:sz w:val="28"/>
        </w:rPr>
      </w:pPr>
    </w:p>
    <w:p w:rsidR="00DF28A3" w:rsidRDefault="00DF28A3" w:rsidP="00DF28A3">
      <w:pPr>
        <w:pStyle w:val="Standard"/>
        <w:ind w:firstLine="708"/>
        <w:jc w:val="center"/>
        <w:rPr>
          <w:rFonts w:ascii="TimesNewRomanPS-BoldMT" w:hAnsi="TimesNewRomanPS-BoldMT"/>
          <w:b/>
          <w:sz w:val="28"/>
        </w:rPr>
      </w:pPr>
    </w:p>
    <w:p w:rsidR="00DF28A3" w:rsidRDefault="00DF28A3" w:rsidP="00DF28A3">
      <w:pPr>
        <w:pStyle w:val="Standard"/>
      </w:pPr>
      <w:r>
        <w:rPr>
          <w:rFonts w:ascii="TimesNewRomanPSMT" w:hAnsi="TimesNewRomanPSMT"/>
          <w:b/>
          <w:bCs/>
        </w:rPr>
        <w:t xml:space="preserve">1. </w:t>
      </w:r>
      <w:r>
        <w:rPr>
          <w:rFonts w:ascii="TimesNewRomanPS-ItalicMT" w:hAnsi="TimesNewRomanPS-ItalicMT"/>
          <w:b/>
          <w:bCs/>
          <w:i/>
        </w:rPr>
        <w:t>Definíció:</w:t>
      </w: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</w:rPr>
        <w:tab/>
      </w:r>
      <w:r>
        <w:rPr>
          <w:rFonts w:ascii="TimesNewRomanPS-ItalicMT" w:hAnsi="TimesNewRomanPS-ItalicMT"/>
          <w:bCs/>
        </w:rPr>
        <w:t>Acatabulum törésnek nevezzük a</w:t>
      </w:r>
      <w:r>
        <w:rPr>
          <w:rFonts w:ascii="TimesNewRomanPSMT" w:hAnsi="TimesNewRomanPSMT"/>
        </w:rPr>
        <w:t xml:space="preserve"> csípőízületi vápa törését, mely kombinálódhat csípőízületi ficammal, következményes ízületi instabilitással és ízületi inkongruenciával. Az acetabulumtörések a medencesérülések 10 %-ában vannak jelen. A medence gyűrű sérülésével és stabilitásával egy másik ajánlás foglalkozik. Az acetabulumtörések után a sérüléstől és a sérültellátó helytől függően 5% és 50 % közötti a posttraumás artrózis gyakorisága.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Ez az ajánlás az ellátás minőségétől függő szövődmények minél kisebb arányra szorításáért készült.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</w:rPr>
        <w:t>2. Terápiás cél:</w:t>
      </w: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i/>
        </w:rPr>
        <w:tab/>
      </w:r>
      <w:r>
        <w:rPr>
          <w:rFonts w:ascii="TimesNewRomanPSMT" w:hAnsi="TimesNewRomanPSMT"/>
        </w:rPr>
        <w:t xml:space="preserve">A csípőizületet alkotó combfej, valamint a vápa inkongruenciájának és az ízület instabilitásának megszűntetése, a korai mobilizálhatóságának biztosítása.  </w:t>
      </w:r>
    </w:p>
    <w:p w:rsidR="00DF28A3" w:rsidRDefault="00DF28A3" w:rsidP="00DF28A3">
      <w:pPr>
        <w:pStyle w:val="Standard"/>
        <w:rPr>
          <w:rFonts w:ascii="TimesNewRomanPS-ItalicMT" w:hAnsi="TimesNewRomanPS-ItalicMT"/>
          <w:b/>
          <w:bCs/>
        </w:rPr>
      </w:pPr>
    </w:p>
    <w:p w:rsidR="00DF28A3" w:rsidRDefault="00DF28A3" w:rsidP="00DF28A3">
      <w:pPr>
        <w:pStyle w:val="Standard"/>
        <w:rPr>
          <w:rFonts w:ascii="TimesNewRomanPS-ItalicMT" w:hAnsi="TimesNewRomanPS-ItalicMT"/>
          <w:b/>
          <w:bCs/>
          <w:i/>
        </w:rPr>
      </w:pPr>
      <w:r>
        <w:rPr>
          <w:rFonts w:ascii="TimesNewRomanPS-ItalicMT" w:hAnsi="TimesNewRomanPS-ItalicMT"/>
          <w:b/>
          <w:bCs/>
          <w:i/>
        </w:rPr>
        <w:t xml:space="preserve">3. Minőségi szempontok: </w:t>
      </w:r>
    </w:p>
    <w:p w:rsidR="00DF28A3" w:rsidRDefault="00DF28A3" w:rsidP="00DF28A3">
      <w:pPr>
        <w:pStyle w:val="Standard"/>
        <w:rPr>
          <w:rFonts w:ascii="TimesNewRomanPS-ItalicMT" w:hAnsi="TimesNewRomanPS-ItalicMT"/>
          <w:bCs/>
        </w:rPr>
      </w:pPr>
      <w:r>
        <w:rPr>
          <w:rFonts w:ascii="TimesNewRomanPS-ItalicMT" w:hAnsi="TimesNewRomanPS-ItalicMT"/>
          <w:bCs/>
        </w:rPr>
        <w:t>Az ellátás minőségét a következők határozzák meg:</w:t>
      </w: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Cs/>
        </w:rPr>
        <w:t>3.1.</w:t>
      </w:r>
      <w:r>
        <w:rPr>
          <w:rFonts w:ascii="TimesNewRomanPS-ItalicMT" w:hAnsi="TimesNewRomanPS-ItalicMT"/>
          <w:b/>
          <w:bCs/>
          <w:i/>
        </w:rPr>
        <w:t xml:space="preserve"> </w:t>
      </w:r>
      <w:r>
        <w:rPr>
          <w:rFonts w:ascii="TimesNewRomanPS-ItalicMT" w:hAnsi="TimesNewRomanPS-ItalicMT"/>
          <w:bCs/>
        </w:rPr>
        <w:t>a sérült első ellátása és az ellátást nyújtani képes intézetbe juttatása</w:t>
      </w: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Cs/>
        </w:rPr>
        <w:t xml:space="preserve">3.2. </w:t>
      </w:r>
      <w:r>
        <w:rPr>
          <w:rFonts w:ascii="TimesNewRomanPS-ItalicMT" w:hAnsi="TimesNewRomanPS-ItalicMT"/>
          <w:iCs/>
        </w:rPr>
        <w:t>a</w:t>
      </w:r>
      <w:r>
        <w:rPr>
          <w:rFonts w:ascii="TimesNewRomanPSMT" w:hAnsi="TimesNewRomanPSMT"/>
          <w:iCs/>
        </w:rPr>
        <w:t>z</w:t>
      </w:r>
      <w:r>
        <w:rPr>
          <w:rFonts w:ascii="TimesNewRomanPSMT" w:hAnsi="TimesNewRomanPSMT"/>
          <w:i/>
          <w:iCs/>
        </w:rPr>
        <w:t xml:space="preserve"> </w:t>
      </w:r>
      <w:r>
        <w:rPr>
          <w:rFonts w:ascii="TimesNewRomanPSMT" w:hAnsi="TimesNewRomanPSMT"/>
        </w:rPr>
        <w:t>acetabulumtörés megfelelő klasszifikációja alapján felállított kezelési terv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3.3  a</w:t>
      </w:r>
      <w:proofErr w:type="gramEnd"/>
      <w:r>
        <w:rPr>
          <w:rFonts w:ascii="TimesNewRomanPSMT" w:hAnsi="TimesNewRomanPSMT"/>
        </w:rPr>
        <w:t xml:space="preserve"> töréstípusnak, és az ellátó tapasztalatának legmegfelelőbb feltárás kiválasztása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3.4. a lehető legstabilabb oszteoszintézis elvégzése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3.5. a jól szervezett korai rehabilitáció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</w:rPr>
        <w:t>4. Alapvető kompetenciaszintek meghatározása:</w:t>
      </w:r>
    </w:p>
    <w:p w:rsidR="00DF28A3" w:rsidRDefault="00DF28A3" w:rsidP="00DF28A3">
      <w:pPr>
        <w:pStyle w:val="Szvegtrzsbehzssal"/>
        <w:ind w:firstLine="0"/>
        <w:jc w:val="both"/>
      </w:pPr>
      <w:r>
        <w:t>Elsősegélynyújtás (sérült nyugalomba helyezése, analgeticum adása stb.): ápolói feladat</w:t>
      </w:r>
    </w:p>
    <w:p w:rsidR="00DF28A3" w:rsidRDefault="00DF28A3" w:rsidP="00DF28A3">
      <w:pPr>
        <w:pStyle w:val="Szvegtrzsbehzssal"/>
        <w:ind w:firstLine="0"/>
        <w:jc w:val="both"/>
      </w:pPr>
      <w:r>
        <w:t>Betegszállítás</w:t>
      </w:r>
      <w:r w:rsidRPr="001610C1">
        <w:t xml:space="preserve"> a </w:t>
      </w:r>
      <w:r>
        <w:t>sérülés helyétől ortopéd</w:t>
      </w:r>
      <w:r>
        <w:rPr>
          <w:color w:val="FF0000"/>
        </w:rPr>
        <w:t>-</w:t>
      </w:r>
      <w:r>
        <w:rPr>
          <w:color w:val="000000"/>
        </w:rPr>
        <w:t xml:space="preserve">traumatológiai </w:t>
      </w:r>
      <w:r>
        <w:t>vagy traumatológiai ellátást nyújtani képes intézménybe: mentőszolgálat feladata</w:t>
      </w:r>
    </w:p>
    <w:p w:rsidR="00DF28A3" w:rsidRDefault="00DF28A3" w:rsidP="00DF28A3">
      <w:pPr>
        <w:pStyle w:val="Szvegtrzsbehzssal"/>
        <w:ind w:firstLine="0"/>
        <w:jc w:val="both"/>
      </w:pPr>
      <w:r>
        <w:t>Sérülés diagnosztizálása: általános orvosi feladat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A 3. pontnak megfelelően az ilyen műtétek elvégzése az acetabulumtörések operatív kezelésében tapasztalt szakorvosok kezébe való olyan helyen, ahol mind az elülső, mind a hátulsó feltárás elvégezhető, és mind a külső, mind a belső rögzítéshez rendelkezésre állnak megfelelő implantátumok. </w:t>
      </w:r>
    </w:p>
    <w:p w:rsidR="00DF28A3" w:rsidRDefault="00DF28A3" w:rsidP="00DF28A3">
      <w:pPr>
        <w:pStyle w:val="Szvegtrzsbehzssal"/>
        <w:ind w:firstLine="0"/>
        <w:jc w:val="both"/>
      </w:pPr>
      <w:r>
        <w:t>Kezelési terv felállítása és konzervatív vagy operatív töréskezelés végzése: traumatológus, ortopéd-traumatológus szakorvosi feladat vagy ortopéd-traumatológus szakorvosjelölt is végezheti megfelelő szakorvosi felügyelettel.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Ellátási szint: III. szinttől mindenütt, II. szinten megfelelő tapasztalt team és implantátumok megléte esetén. Ehhez akkreditációt egyetemi intézet adhat. </w:t>
      </w:r>
    </w:p>
    <w:p w:rsidR="00DF28A3" w:rsidRDefault="00DF28A3" w:rsidP="00DF28A3">
      <w:pPr>
        <w:pStyle w:val="Standard"/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</w:rPr>
        <w:t>5. Diagnosztika:</w:t>
      </w:r>
    </w:p>
    <w:p w:rsidR="00DF28A3" w:rsidRDefault="00DF28A3" w:rsidP="00DF28A3">
      <w:pPr>
        <w:pStyle w:val="Standard"/>
        <w:jc w:val="both"/>
      </w:pPr>
      <w:r>
        <w:rPr>
          <w:rFonts w:ascii="TimesNewRomanPS-ItalicMT" w:hAnsi="TimesNewRomanPS-ItalicMT"/>
          <w:i/>
        </w:rPr>
        <w:tab/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Amennyiben ez nagy energiára bekövetkező sérülés, az általános diagnosztika megegyezik az egyéb politraumatizáltakéval. Elsődleges feladat az életveszélyes sérülések - úgymint vérzések, kismedencei szerv sérülések, </w:t>
      </w:r>
      <w:proofErr w:type="gramStart"/>
      <w:r>
        <w:rPr>
          <w:rFonts w:ascii="TimesNewRomanPSMT" w:hAnsi="TimesNewRomanPSMT"/>
        </w:rPr>
        <w:t>( húgyuti</w:t>
      </w:r>
      <w:proofErr w:type="gramEnd"/>
      <w:r>
        <w:rPr>
          <w:rFonts w:ascii="TimesNewRomanPSMT" w:hAnsi="TimesNewRomanPSMT"/>
        </w:rPr>
        <w:t xml:space="preserve">-hólyagsérülés) felismerése és ellátása,. 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fizikális vizsgálat során a csípő fájdalmát észlelhetjük, (a leggyakoribb hátsó </w:t>
      </w:r>
      <w:proofErr w:type="gramStart"/>
      <w:r>
        <w:rPr>
          <w:rFonts w:ascii="TimesNewRomanPSMT" w:hAnsi="TimesNewRomanPSMT"/>
        </w:rPr>
        <w:t>felső  traumás</w:t>
      </w:r>
      <w:proofErr w:type="gramEnd"/>
      <w:r>
        <w:rPr>
          <w:rFonts w:ascii="TimesNewRomanPSMT" w:hAnsi="TimesNewRomanPSMT"/>
        </w:rPr>
        <w:t xml:space="preserve"> csípőluxatio esetén a csipőízület flectált, berotált helyzetét a végtag megrövidülését),  egyebekben az alsó végtag helyzete nem jellemző. A sérült oldali alsó végtag keringését veszélyeztető érsérülés az acetabulum törésekre nem jellemző, ettől még az első vizsgálatnál a végtagok keringési viszonyait értékelni és az eredményt dokumentálni kell. </w:t>
      </w:r>
    </w:p>
    <w:p w:rsidR="00DF28A3" w:rsidRDefault="00DF28A3" w:rsidP="00DF28A3">
      <w:pPr>
        <w:pStyle w:val="Standard"/>
        <w:jc w:val="both"/>
      </w:pPr>
      <w:r>
        <w:rPr>
          <w:rFonts w:ascii="TimesNewRomanPSMT" w:hAnsi="TimesNewRomanPSMT"/>
        </w:rPr>
        <w:t>Az acetabulumtörések kb. 30 %-</w:t>
      </w:r>
      <w:r w:rsidR="001610C1">
        <w:rPr>
          <w:rFonts w:ascii="TimesNewRomanPSMT" w:hAnsi="TimesNewRomanPSMT"/>
        </w:rPr>
        <w:t>á</w:t>
      </w:r>
      <w:r>
        <w:rPr>
          <w:rFonts w:ascii="TimesNewRomanPSMT" w:hAnsi="TimesNewRomanPSMT"/>
        </w:rPr>
        <w:t xml:space="preserve">ban észlelhető neurologiai szövődmény, ezek aránya rendszeresen </w:t>
      </w:r>
      <w:r>
        <w:rPr>
          <w:rFonts w:ascii="TimesNewRomanPSMT" w:hAnsi="TimesNewRomanPSMT"/>
        </w:rPr>
        <w:lastRenderedPageBreak/>
        <w:t xml:space="preserve">alábecsült! Az acetabulum törése esetén a végtag sensoros és motoros beidegzését vizsgálni és dokumentálni kell. A leggyakoribb a nervus ischiadicus sérülése, részleges vagy teljes működészavarral. A n. ischiadicus sérülése túlnyomórészt a combfej hátsó dislocatiojakor észlelhető. A n. peroneus működése lényegesen gyakrabban károsodik, mint a n. tibialis működése. Acetabulumtörötteknél a fájdalom miatt nem, vagy alig vizsgálható a csípőabductio ereje, melynek csökkenése a n. gluteus superior sérülésére utal. 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Figyelembe veendő a sérülés mechanizmusa: „dashboard injury”- és a kísérő sérülések térdtáji sérülések, tibia disztalis vég, láb, előláb sérülései is. </w:t>
      </w:r>
      <w:r>
        <w:rPr>
          <w:rFonts w:ascii="TimesNewRomanPSMT" w:hAnsi="TimesNewRomanPSMT"/>
        </w:rPr>
        <w:tab/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Képalkotó vizsgálatok: 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  <w:b/>
        </w:rPr>
      </w:pPr>
    </w:p>
    <w:p w:rsidR="00DF28A3" w:rsidRDefault="00DF28A3" w:rsidP="00DF28A3">
      <w:pPr>
        <w:pStyle w:val="Standard"/>
        <w:jc w:val="both"/>
      </w:pPr>
      <w:r>
        <w:rPr>
          <w:rFonts w:ascii="TimesNewRomanPSMT" w:hAnsi="TimesNewRomanPSMT"/>
          <w:b/>
        </w:rPr>
        <w:t>AP medencefelvételen</w:t>
      </w:r>
      <w:r>
        <w:rPr>
          <w:rFonts w:ascii="TimesNewRomanPSMT" w:hAnsi="TimesNewRomanPSMT"/>
        </w:rPr>
        <w:t xml:space="preserve"> általában már észlelhető az acetabulum törése.  Amennyiben a sérülés a csípő luxatiojával jár, az első ellátás részeként a csípő narcosisban történő repositiojára kell törekedni, minden további diagnosztikai eljárás csak ezután végzendő. </w:t>
      </w:r>
    </w:p>
    <w:p w:rsidR="00DF28A3" w:rsidRDefault="00DF28A3" w:rsidP="00DF28A3">
      <w:pPr>
        <w:pStyle w:val="Standard"/>
        <w:jc w:val="both"/>
      </w:pPr>
      <w:r>
        <w:rPr>
          <w:rFonts w:ascii="TimesNewRomanPSMT" w:hAnsi="TimesNewRomanPSMT"/>
        </w:rPr>
        <w:t xml:space="preserve">Ezt követően kiegészítő, </w:t>
      </w:r>
      <w:r>
        <w:rPr>
          <w:rFonts w:ascii="TimesNewRomanPSMT" w:hAnsi="TimesNewRomanPSMT"/>
          <w:b/>
        </w:rPr>
        <w:t>félferde felvételek</w:t>
      </w:r>
      <w:r>
        <w:rPr>
          <w:rFonts w:ascii="TimesNewRomanPSMT" w:hAnsi="TimesNewRomanPSMT"/>
        </w:rPr>
        <w:t xml:space="preserve"> elvégzése segít a további részletek tisztázásában</w:t>
      </w:r>
      <w:proofErr w:type="gramStart"/>
      <w:r>
        <w:rPr>
          <w:rFonts w:ascii="TimesNewRomanPSMT" w:hAnsi="TimesNewRomanPSMT"/>
        </w:rPr>
        <w:t>.</w:t>
      </w:r>
      <w:r>
        <w:rPr>
          <w:rFonts w:ascii="TimesNewRomanPSMT" w:hAnsi="TimesNewRomanPSMT"/>
          <w:strike/>
          <w:color w:val="FF0000"/>
        </w:rPr>
        <w:t>.</w:t>
      </w:r>
      <w:proofErr w:type="gramEnd"/>
      <w:r>
        <w:rPr>
          <w:rFonts w:ascii="TimesNewRomanPSMT" w:hAnsi="TimesNewRomanPSMT"/>
        </w:rPr>
        <w:t xml:space="preserve"> A Judet által bevezetett ala- és obturator felvételeken</w:t>
      </w:r>
      <w:r>
        <w:rPr>
          <w:rFonts w:ascii="TimesNewRomanPSMT" w:hAnsi="TimesNewRomanPSMT"/>
        </w:rPr>
        <w:tab/>
        <w:t xml:space="preserve">az acetabulum törésének fontos részletei láthatóak. Ala felvételen kivetül az acetabulum hátsó pillére és elülső pereme, obturatorfelvételen ezzel ellentétben, az elülső pillér és a </w:t>
      </w:r>
      <w:r>
        <w:rPr>
          <w:rFonts w:ascii="TimesNewRomanPSMT" w:hAnsi="TimesNewRomanPSMT"/>
        </w:rPr>
        <w:tab/>
        <w:t xml:space="preserve">hátsó perem láthatóak jól. Ezek a felvételek elkészíthetőek hanyattfekvő betegnél a </w:t>
      </w:r>
      <w:r>
        <w:rPr>
          <w:rFonts w:ascii="TimesNewRomanPSMT" w:hAnsi="TimesNewRomanPSMT"/>
        </w:rPr>
        <w:tab/>
        <w:t xml:space="preserve">röntgencső 45-45 fokos döntésével a sérült csípő illetve az ellenoldal felé. </w:t>
      </w:r>
    </w:p>
    <w:p w:rsidR="00DF28A3" w:rsidRDefault="00DF28A3" w:rsidP="00DF28A3">
      <w:pPr>
        <w:pStyle w:val="Standard"/>
        <w:jc w:val="both"/>
      </w:pPr>
      <w:r>
        <w:rPr>
          <w:rFonts w:ascii="TimesNewRomanPSMT" w:hAnsi="TimesNewRomanPSMT"/>
        </w:rPr>
        <w:t xml:space="preserve">Amennyiben a röntgen felvételeken az acetabulum törését észleltük, elvégzendő a </w:t>
      </w:r>
      <w:r>
        <w:rPr>
          <w:rFonts w:ascii="TimesNewRomanPSMT" w:hAnsi="TimesNewRomanPSMT"/>
          <w:b/>
        </w:rPr>
        <w:t>csípő CT</w:t>
      </w:r>
      <w:r>
        <w:rPr>
          <w:rFonts w:ascii="TimesNewRomanPSMT" w:hAnsi="TimesNewRomanPSMT"/>
        </w:rPr>
        <w:t xml:space="preserve"> vizsgálata. Ezzel a törés részletesebben elemezhető, a szükséges műtét könnyebben tervezhető, </w:t>
      </w:r>
      <w:proofErr w:type="gramStart"/>
      <w:r>
        <w:rPr>
          <w:rFonts w:ascii="TimesNewRomanPSMT" w:hAnsi="TimesNewRomanPSMT"/>
        </w:rPr>
        <w:t>az</w:t>
      </w:r>
      <w:proofErr w:type="gramEnd"/>
      <w:r>
        <w:rPr>
          <w:rFonts w:ascii="TimesNewRomanPSMT" w:hAnsi="TimesNewRomanPSMT"/>
        </w:rPr>
        <w:t xml:space="preserve"> rtg.felvételeken esetleg nem látható szabad ízületi testek illetve törésvonalak ismerhetőek fel. Amennyiben egyéb indikációk (pl. polytrauma, koponyasérülés) miatt a beteg primeren kerül CT vizsgálatra, </w:t>
      </w:r>
      <w:proofErr w:type="gramStart"/>
      <w:r>
        <w:rPr>
          <w:rFonts w:ascii="TimesNewRomanPSMT" w:hAnsi="TimesNewRomanPSMT"/>
        </w:rPr>
        <w:t>az  helyettesítheti</w:t>
      </w:r>
      <w:proofErr w:type="gramEnd"/>
      <w:r>
        <w:rPr>
          <w:rFonts w:ascii="TimesNewRomanPSMT" w:hAnsi="TimesNewRomanPSMT"/>
        </w:rPr>
        <w:t xml:space="preserve"> a hagyományos röntgenfelvételeket.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  <w:u w:val="single"/>
        </w:rPr>
        <w:t>6. Terápia:</w:t>
      </w:r>
    </w:p>
    <w:p w:rsidR="00DF28A3" w:rsidRDefault="00DF28A3" w:rsidP="00DF28A3">
      <w:pPr>
        <w:pStyle w:val="Standard"/>
        <w:rPr>
          <w:rFonts w:ascii="TimesNewRomanPS-ItalicMT" w:hAnsi="TimesNewRomanPS-ItalicMT"/>
          <w:i/>
        </w:rPr>
      </w:pPr>
      <w:r>
        <w:rPr>
          <w:rFonts w:ascii="TimesNewRomanPS-ItalicMT" w:hAnsi="TimesNewRomanPS-ItalicMT"/>
          <w:i/>
        </w:rPr>
        <w:t xml:space="preserve">6.1 Konzervatív kezelés: </w:t>
      </w:r>
    </w:p>
    <w:p w:rsidR="00DF28A3" w:rsidRDefault="00DF28A3" w:rsidP="00DF28A3">
      <w:pPr>
        <w:pStyle w:val="Standard"/>
      </w:pPr>
      <w:proofErr w:type="gramStart"/>
      <w:r>
        <w:rPr>
          <w:rFonts w:ascii="TimesNewRomanPSMT" w:hAnsi="TimesNewRomanPSMT"/>
        </w:rPr>
        <w:t>az</w:t>
      </w:r>
      <w:proofErr w:type="gramEnd"/>
      <w:r>
        <w:rPr>
          <w:rFonts w:ascii="TimesNewRomanPSMT" w:hAnsi="TimesNewRomanPSMT"/>
        </w:rPr>
        <w:t xml:space="preserve"> érdemi elmozdulás nélküli  és szabad izületi fragmentumot nem tartalmazó töréseket konzervativan kezeljük. Traumás csípőluxatioval járó, repozíció után instabil töréseket a végleges műtétig extenzióval kezeljük, </w:t>
      </w:r>
      <w:r>
        <w:rPr>
          <w:rFonts w:ascii="TimesNewRomanPS-BoldMT" w:hAnsi="TimesNewRomanPS-BoldMT"/>
          <w:b/>
        </w:rPr>
        <w:t>nyújtott csípő és térd helyzetben</w:t>
      </w:r>
      <w:r>
        <w:rPr>
          <w:rFonts w:ascii="TimesNewRomanPSMT" w:hAnsi="TimesNewRomanPSMT"/>
        </w:rPr>
        <w:t xml:space="preserve">. </w:t>
      </w:r>
    </w:p>
    <w:p w:rsidR="00DF28A3" w:rsidRDefault="00DF28A3" w:rsidP="00DF28A3">
      <w:pPr>
        <w:pStyle w:val="Standard"/>
        <w:rPr>
          <w:rFonts w:ascii="TimesNewRomanPS-ItalicMT" w:hAnsi="TimesNewRomanPS-ItalicMT"/>
          <w:i/>
        </w:rPr>
      </w:pPr>
    </w:p>
    <w:p w:rsidR="00DF28A3" w:rsidRDefault="00DF28A3" w:rsidP="00DF28A3">
      <w:pPr>
        <w:pStyle w:val="Standard"/>
        <w:rPr>
          <w:rFonts w:ascii="TimesNewRomanPS-ItalicMT" w:hAnsi="TimesNewRomanPS-ItalicMT"/>
          <w:i/>
        </w:rPr>
      </w:pPr>
      <w:r>
        <w:rPr>
          <w:rFonts w:ascii="TimesNewRomanPS-ItalicMT" w:hAnsi="TimesNewRomanPS-ItalicMT"/>
          <w:i/>
        </w:rPr>
        <w:t>6.2 Műtéti ellátás:</w:t>
      </w:r>
    </w:p>
    <w:p w:rsidR="00DF28A3" w:rsidRDefault="00DF28A3" w:rsidP="00DF28A3">
      <w:pPr>
        <w:pStyle w:val="Standard"/>
        <w:rPr>
          <w:rFonts w:ascii="TimesNewRomanPS-ItalicMT" w:hAnsi="TimesNewRomanPS-ItalicMT"/>
          <w:i/>
        </w:rPr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</w:rPr>
        <w:t>Amennyiben műtéti kontraindikáció nem áll fenn,</w:t>
      </w:r>
      <w:r>
        <w:rPr>
          <w:rFonts w:ascii="TimesNewRomanPS-ItalicMT" w:hAnsi="TimesNewRomanPS-ItalicMT"/>
          <w:i/>
        </w:rPr>
        <w:t xml:space="preserve"> </w:t>
      </w:r>
      <w:r>
        <w:rPr>
          <w:rFonts w:ascii="TimesNewRomanPSMT" w:hAnsi="TimesNewRomanPSMT"/>
        </w:rPr>
        <w:t xml:space="preserve">a 3 mm-nél nagyobb ízületi lépcsőt okozó illetve szabad ízületi testtel járó törések műtéttel eredményesebben kezelhetőek.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hátsó perem és a hátsó oszlop sérülései, valamint a csípőízületben lévő szabad ízületi testek Kocher- Langenbeck-féle hátsó feltárásból láthatóak el.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ritkább elülső fal, elülső pillér törések operatív ellátása Judet- Letournel féle </w:t>
      </w:r>
      <w:r>
        <w:rPr>
          <w:rFonts w:ascii="TimesNewRomanPSMT" w:hAnsi="TimesNewRomanPSMT"/>
        </w:rPr>
        <w:tab/>
        <w:t xml:space="preserve">ilioinguinalis vagy kisebb invazivitású Stoppa, pararectus, esetleg iliofemoralis feltárásból történik. 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>A kettős pillér törések</w:t>
      </w:r>
      <w:r>
        <w:rPr>
          <w:rFonts w:ascii="TimesNewRomanPSMT" w:hAnsi="TimesNewRomanPSMT"/>
          <w:strike/>
        </w:rPr>
        <w:t>et</w:t>
      </w:r>
      <w:r>
        <w:rPr>
          <w:rFonts w:ascii="TimesNewRomanPSMT" w:hAnsi="TimesNewRomanPSMT"/>
        </w:rPr>
        <w:t xml:space="preserve"> vagy két külön feltárásból vagy kiterjesztett iliofemoralis feltárásból láthatóak el. 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Az operáló team tapasztalatától függően a kettős feltárás helyett az igényesebb feltárást és stabilizálást igénylő oszlop nyílt műtéte kombinálható a másik oszlop minimal invazív stabilizálásával.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Megfelelő implantátumok:  Klasszikus DC vagy rekonstrukciós lemezek 4,5 mm-es csavarokkal, vagy  speciális 3,5 mm-es szögstabil lemezrendszerek krómacélból vagy titánból.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Amenyiben az oszteoszintézis technikailag nem kivihető, akár idős, oszteoporózissal bíró betegeknél is, a műtéti teherbírás függvényében szóba jön a primer arthroplasztika, speciális vápakosár, vagy sok csavar befogadására alkalmas cementnélküli vápa használatával.</w:t>
      </w:r>
    </w:p>
    <w:p w:rsidR="00DF28A3" w:rsidRDefault="00DF28A3" w:rsidP="00DF28A3">
      <w:pPr>
        <w:pStyle w:val="Standard"/>
      </w:pPr>
    </w:p>
    <w:p w:rsidR="00DF28A3" w:rsidRDefault="00DF28A3" w:rsidP="00DF28A3">
      <w:pPr>
        <w:pStyle w:val="Standard"/>
      </w:pPr>
      <w:r>
        <w:rPr>
          <w:rFonts w:ascii="TimesNewRomanPSMT" w:hAnsi="TimesNewRomanPSMT"/>
          <w:i/>
          <w:iCs/>
        </w:rPr>
        <w:t>6.3 Személyi feltételek: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- acetabulumtörések kezelésben gyakorlott, traumatológiai, ortopéd-traumatológiai és </w:t>
      </w:r>
      <w:r>
        <w:rPr>
          <w:rFonts w:ascii="TimesNewRomanPSMT" w:hAnsi="TimesNewRomanPSMT"/>
        </w:rPr>
        <w:tab/>
        <w:t xml:space="preserve">ortopéd </w:t>
      </w:r>
      <w:r>
        <w:rPr>
          <w:rFonts w:ascii="TimesNewRomanPSMT" w:hAnsi="TimesNewRomanPSMT"/>
        </w:rPr>
        <w:lastRenderedPageBreak/>
        <w:t>szakvizsgával rendelkező orvos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-acetabulumtörések kezelésben kevésbe gyakorlott, traumatológiai, ortopéd- traumatológiai </w:t>
      </w:r>
      <w:r>
        <w:rPr>
          <w:rFonts w:ascii="TimesNewRomanPSMT" w:hAnsi="TimesNewRomanPSMT"/>
        </w:rPr>
        <w:tab/>
        <w:t>és ortopéd szakvizsgával rendelkező orvos, gyakorlott szakorvos asszisztenciájával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>- ajánlott két fő asszisztens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- </w:t>
      </w:r>
      <w:r>
        <w:t>a műtéti vezetéses érzéstelenítést vagy narcosist biztosító anaesthesiológus szakorvos vagy szakorvos jelölt szakorvosi felügyelettel</w:t>
      </w:r>
    </w:p>
    <w:p w:rsidR="00DF28A3" w:rsidRDefault="00DF28A3" w:rsidP="00DF28A3">
      <w:pPr>
        <w:pStyle w:val="Standard"/>
      </w:pPr>
      <w:r>
        <w:t>- műtős szakasszistens</w:t>
      </w:r>
    </w:p>
    <w:p w:rsidR="00DF28A3" w:rsidRDefault="00DF28A3" w:rsidP="00DF28A3">
      <w:pPr>
        <w:pStyle w:val="Standard"/>
      </w:pPr>
      <w:r>
        <w:t>- anaesthesiológus szakasszisztens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- műtőssegéd</w:t>
      </w:r>
    </w:p>
    <w:p w:rsidR="00DF28A3" w:rsidRDefault="00DF28A3" w:rsidP="00DF28A3">
      <w:pPr>
        <w:pStyle w:val="Standard"/>
      </w:pPr>
    </w:p>
    <w:p w:rsidR="00DF28A3" w:rsidRDefault="00DF28A3" w:rsidP="00DF28A3">
      <w:pPr>
        <w:pStyle w:val="Standard"/>
      </w:pPr>
      <w:r>
        <w:rPr>
          <w:rFonts w:ascii="TimesNewRomanPSMT" w:hAnsi="TimesNewRomanPSMT"/>
          <w:i/>
          <w:iCs/>
        </w:rPr>
        <w:t>6.4 Tárgyi feltételek: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>- az ÁNTSZ által meghatározott minimum feltételeknek megfelelő sebészeti műtő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- </w:t>
      </w:r>
      <w:r>
        <w:t>a törés operatív ellátásához és az esetleges intraoperativ szövődmények elhárításához szükséges csontegyesítő implantátumok és műszerek megléte</w:t>
      </w:r>
    </w:p>
    <w:p w:rsidR="00DF28A3" w:rsidRDefault="00DF28A3" w:rsidP="00DF28A3">
      <w:pPr>
        <w:pStyle w:val="Standard"/>
      </w:pPr>
      <w:r>
        <w:t xml:space="preserve">- intraoperatív röntgenvizsgálathoz átvilágítható traumatológiai műtőasztal </w:t>
      </w:r>
    </w:p>
    <w:p w:rsidR="00DF28A3" w:rsidRDefault="00DF28A3" w:rsidP="00DF28A3">
      <w:pPr>
        <w:pStyle w:val="Standard"/>
      </w:pPr>
      <w:r>
        <w:t>- röntgen képerősítő a műtőben a megfelelő sugárbiztonsági felszerelésekkel együtt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- az anaesthesiológiai ellátáshoz szükséges gyógyszerek és a beteg perioperatív </w:t>
      </w:r>
      <w:r>
        <w:rPr>
          <w:rFonts w:ascii="TimesNewRomanPSMT" w:hAnsi="TimesNewRomanPSMT"/>
        </w:rPr>
        <w:tab/>
        <w:t>monitorizálását biztosító berendezések</w:t>
      </w:r>
    </w:p>
    <w:p w:rsidR="00DF28A3" w:rsidRDefault="00DF28A3" w:rsidP="00DF28A3">
      <w:pPr>
        <w:pStyle w:val="Standard"/>
      </w:pPr>
    </w:p>
    <w:p w:rsidR="00DF28A3" w:rsidRDefault="00DF28A3" w:rsidP="00DF28A3">
      <w:pPr>
        <w:pStyle w:val="Standard"/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</w:rPr>
        <w:t>7. Szövődmények</w:t>
      </w:r>
      <w:r>
        <w:rPr>
          <w:rFonts w:ascii="TimesNewRomanPSMT" w:hAnsi="TimesNewRomanPSMT"/>
          <w:b/>
          <w:bCs/>
        </w:rPr>
        <w:t>: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7.1 Korai szövődmények: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>7.1.1. az acetabulumtöröttek thrombosis veszélyeztetettsége magas (30 %), így a nagy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rizikónak megfelelően kezelendők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7.1.2. a korai komplikációk közül az első a törési vagy műtéti haematoma infekciója. 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>7.1.3. a műtéti ilioinguinális feltáráskor sérülhet a nervus cutaneous femoris lateralis, mely a comb elülső-külső oldalának érzéstelenségét okozza.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>7.1.4. a Kocher Langebeck feltárásnál a nervus ischiadicus rossz prognózisú iatrogen károsodása előfordulhat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7.1.5. a Stoppa feltárásnál a nervus obturatorius károsodhat (következmény a comb belső oldali érzészavar, és az adductor izmok működésének károsodása)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7.2. a késői szövődmények két csoportra oszthatóak: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7.2.1. heterotop ossificatio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aránya 5-90% közötti. Legritkábban konzervativan kezelt, csípőficammal és jelentős diszlokációval nem járó törések esetén észleljük, leggyakrabban hátsó ficammal járó hátsó pillér töréseknél, különösen abban az esetben, ha a sérült preventiv kezelésben nem részesült. A heterotop ossificatio prevenciójára a nonszteroid gyulladásgátló kezelés (pl. indomethacinum) ajánlott a sérülést vagy műtétet követően minimum 6 hétig. Az alacsony dózisú irradiátióról is vannak irodalmi adatok, de ennek jelentősége elsősorban nem traumás csípőtáji műtétek során van. 7.2.2 a másik késői szövődmény acetabulumtörés után a szekunder arthrosis és/vagy combfejnecrosis. A késői combfejnecrosis elsődleges oka természetesen a combfej keringését súlyosan károsító traumás csípőficam (Ezért a sürgős, 4 órán belüli repozíció abszolút indikált még polytraumatizáltnál is!). A post-traumás arthrosis okai az avascularis combfejnecrosis, az ízfelszín incongruentia, direkt vápaporc sérülés, izületi csontfragmentum, valamint az izületbe penetráló és szekunder porckárosodást okozó implantátum.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A csípőizület sérüléssel összefüggő károsodásának </w:t>
      </w:r>
      <w:proofErr w:type="gramStart"/>
      <w:r>
        <w:rPr>
          <w:rFonts w:ascii="TimesNewRomanPSMT" w:hAnsi="TimesNewRomanPSMT"/>
        </w:rPr>
        <w:t>tünetei  egy</w:t>
      </w:r>
      <w:proofErr w:type="gramEnd"/>
      <w:r>
        <w:rPr>
          <w:rFonts w:ascii="TimesNewRomanPSMT" w:hAnsi="TimesNewRomanPSMT"/>
        </w:rPr>
        <w:t xml:space="preserve"> éven túl is jelentkezhetnek. 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</w:p>
    <w:p w:rsidR="00DF28A3" w:rsidRDefault="00DF28A3" w:rsidP="00DF28A3">
      <w:pPr>
        <w:pStyle w:val="Standard"/>
        <w:rPr>
          <w:rFonts w:ascii="TimesNewRomanPSMT" w:hAnsi="TimesNewRomanPSMT"/>
        </w:rPr>
      </w:pPr>
    </w:p>
    <w:p w:rsidR="00DF28A3" w:rsidRDefault="00DF28A3" w:rsidP="00DF28A3">
      <w:pPr>
        <w:pStyle w:val="Standard"/>
      </w:pPr>
      <w:r>
        <w:rPr>
          <w:rFonts w:ascii="TimesNewRomanPS-ItalicMT" w:hAnsi="TimesNewRomanPS-ItalicMT"/>
          <w:b/>
          <w:bCs/>
          <w:i/>
        </w:rPr>
        <w:t>8. Utókezelés:</w:t>
      </w:r>
    </w:p>
    <w:p w:rsidR="00DF28A3" w:rsidRDefault="00DF28A3" w:rsidP="00DF28A3">
      <w:pPr>
        <w:pStyle w:val="Standard"/>
        <w:jc w:val="both"/>
      </w:pPr>
      <w:r>
        <w:rPr>
          <w:rFonts w:ascii="TimesNewRomanPS-ItalicMT" w:hAnsi="TimesNewRomanPS-ItalicMT"/>
        </w:rPr>
        <w:t>8.1.A</w:t>
      </w:r>
      <w:r>
        <w:rPr>
          <w:rFonts w:ascii="TimesNewRomanPSMT" w:hAnsi="TimesNewRomanPSMT"/>
        </w:rPr>
        <w:t xml:space="preserve"> thrombosis veszélye miatt az acetabulumtöröttek a nagy rizikójú csoportba tartoznak, ennek megfelelően kezeljük. LMWH - minimum 35 napig, illetve a legalább részterhelési képesség eléréséig. 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>8.2. Kontroll röntgen felvétel a műtét után, majd 4, illetve 8 hét múlva, továbbá 6 hónap múlva készítendő. A beteg állapota, állapotváltozása esetén ez módosulhat. A postoperatív AP csípő és ala-obturatória felvételek mellett, ha a klinikai kép, illetve rtg. felvételek alapján felvetődik, hogy a töréshelyzet, vagy valamelyik behelyezett implantátum pozíciója nem megfelelő, CT dokumentáció szükséges.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>8.3. Postoperatív 6 hétig NSAID prevenció javasolt a heterotop ossificatio prevenciójára.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8.4. A rehabilitáció személyre szabott kezelési terv alapján folytatható, ami fokozottan igaz a többszörös sérültekre. Általános alapszabály, hogy az ép oldal terhelésével mankó használata mellett négy hét múlva, fájdalomhatárig kezdhetjük meg a járatást és a beteg a nyolcadik hét után teljes testsúllyal terhelhet. </w:t>
      </w:r>
    </w:p>
    <w:p w:rsidR="00DF28A3" w:rsidRDefault="00DF28A3" w:rsidP="00DF28A3">
      <w:pPr>
        <w:pStyle w:val="Standard"/>
        <w:jc w:val="both"/>
        <w:rPr>
          <w:rFonts w:ascii="TimesNewRomanPS-ItalicMT" w:hAnsi="TimesNewRomanPS-ItalicMT"/>
          <w:b/>
          <w:bCs/>
          <w:i/>
        </w:rPr>
      </w:pPr>
      <w:r>
        <w:rPr>
          <w:rFonts w:ascii="TimesNewRomanPS-ItalicMT" w:hAnsi="TimesNewRomanPS-ItalicMT"/>
          <w:b/>
          <w:bCs/>
          <w:i/>
        </w:rPr>
        <w:t>9. Dokumentációs szabályok: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Rögzítendőek: 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 részletes kórelőzmény adatai (srülés mechanizmusa, /nagy energia, kis energia/)</w:t>
      </w:r>
    </w:p>
    <w:p w:rsidR="00DF28A3" w:rsidRDefault="00DF28A3" w:rsidP="00DF28A3">
      <w:pPr>
        <w:pStyle w:val="Standard"/>
        <w:jc w:val="both"/>
      </w:pPr>
      <w:r>
        <w:rPr>
          <w:rFonts w:ascii="TimesNewRomanPSMT" w:hAnsi="TimesNewRomanPSMT"/>
        </w:rPr>
        <w:t>a fizikális vizsgálat eredményei (hasi, kismedencei szervekről nyerhető adatok fizikális vizsgálati eredményei, lágyrészek állapota, ér- idegsérülésre utaló tünetek)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>a</w:t>
      </w:r>
      <w:proofErr w:type="gramEnd"/>
      <w:r>
        <w:rPr>
          <w:rFonts w:ascii="TimesNewRomanPSMT" w:hAnsi="TimesNewRomanPSMT"/>
        </w:rPr>
        <w:t xml:space="preserve"> radiológiai képi diagnosztikai mellett hasznos a pre- intra és postpoeratív  fényképek készítése 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Kezelési terv – illetve előnyöket hátrányokat, kockázatokat taglaló tájékoztató nyilatkozat a beteg (gondnoka) részére</w:t>
      </w:r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 műtéti leírásnak a beavatkozás utólagos pontos rekonstruálhatóságára alkalmas részletességgel kell tartalmaznia a műtét lépéseit</w:t>
      </w:r>
      <w:proofErr w:type="gramStart"/>
      <w:r>
        <w:rPr>
          <w:rFonts w:ascii="TimesNewRomanPSMT" w:hAnsi="TimesNewRomanPSMT"/>
        </w:rPr>
        <w:t>..</w:t>
      </w:r>
      <w:proofErr w:type="gramEnd"/>
    </w:p>
    <w:p w:rsidR="00DF28A3" w:rsidRDefault="00DF28A3" w:rsidP="00DF28A3">
      <w:pPr>
        <w:pStyle w:val="Standard"/>
        <w:jc w:val="both"/>
        <w:rPr>
          <w:rFonts w:ascii="TimesNewRomanPSMT" w:hAnsi="TimesNewRomanPSMT"/>
        </w:rPr>
      </w:pPr>
    </w:p>
    <w:p w:rsidR="00DF28A3" w:rsidRDefault="00DF28A3" w:rsidP="00DF28A3">
      <w:pPr>
        <w:pStyle w:val="Standard"/>
        <w:jc w:val="both"/>
        <w:rPr>
          <w:rFonts w:ascii="TimesNewRomanPS-ItalicMT" w:hAnsi="TimesNewRomanPS-ItalicMT"/>
          <w:b/>
          <w:bCs/>
          <w:i/>
        </w:rPr>
      </w:pPr>
      <w:r>
        <w:rPr>
          <w:rFonts w:ascii="TimesNewRomanPS-ItalicMT" w:hAnsi="TimesNewRomanPS-ItalicMT"/>
          <w:b/>
          <w:bCs/>
          <w:i/>
        </w:rPr>
        <w:t>10. Utalások (irodalom):</w:t>
      </w:r>
    </w:p>
    <w:p w:rsidR="00CC1EC4" w:rsidRDefault="00CC1EC4" w:rsidP="00DF28A3">
      <w:pPr>
        <w:pStyle w:val="Standard"/>
        <w:rPr>
          <w:rFonts w:ascii="TimesNewRomanPSMT" w:hAnsi="TimesNewRomanPSMT"/>
        </w:rPr>
      </w:pPr>
    </w:p>
    <w:p w:rsidR="00147FA1" w:rsidRDefault="00DF28A3" w:rsidP="00147FA1">
      <w:pPr>
        <w:pStyle w:val="Standard"/>
      </w:pPr>
      <w:r>
        <w:rPr>
          <w:rFonts w:ascii="TimesNewRomanPSMT" w:hAnsi="TimesNewRomanPSMT"/>
        </w:rPr>
        <w:tab/>
        <w:t xml:space="preserve">1. </w:t>
      </w:r>
      <w:r w:rsidR="00147FA1">
        <w:rPr>
          <w:rFonts w:ascii="TimesNewRomanPSMT" w:hAnsi="TimesNewRomanPSMT"/>
        </w:rPr>
        <w:t xml:space="preserve">AO Surgery Reference: </w:t>
      </w:r>
      <w:hyperlink r:id="rId5" w:history="1">
        <w:r w:rsidR="00147FA1">
          <w:rPr>
            <w:rStyle w:val="Hiperhivatkozs"/>
          </w:rPr>
          <w:t>https://www2.aofoundation.org/wps/portal/surgery</w:t>
        </w:r>
      </w:hyperlink>
    </w:p>
    <w:p w:rsidR="00D10C40" w:rsidRPr="00CC1EC4" w:rsidRDefault="00147FA1" w:rsidP="00D10C40">
      <w:pPr>
        <w:pStyle w:val="Standard"/>
        <w:ind w:left="708"/>
        <w:rPr>
          <w:rFonts w:cs="Times New Roman"/>
          <w:color w:val="000000" w:themeColor="text1"/>
        </w:rPr>
      </w:pPr>
      <w:r>
        <w:rPr>
          <w:rFonts w:ascii="TimesNewRomanPSMT" w:hAnsi="TimesNewRomanPSMT"/>
        </w:rPr>
        <w:t>2.</w:t>
      </w:r>
      <w:r w:rsidR="00D10C40">
        <w:rPr>
          <w:rFonts w:ascii="TimesNewRomanPSMT" w:hAnsi="TimesNewRomanPSMT"/>
        </w:rPr>
        <w:t xml:space="preserve"> </w:t>
      </w:r>
      <w:r w:rsidR="00D10C40">
        <w:rPr>
          <w:rStyle w:val="pg-product-author-name"/>
          <w:rFonts w:cs="Times New Roman"/>
          <w:color w:val="000000" w:themeColor="text1"/>
          <w:shd w:val="clear" w:color="auto" w:fill="FFFFFF"/>
        </w:rPr>
        <w:t xml:space="preserve">Barla J: Acetabulum. in </w:t>
      </w:r>
      <w:hyperlink r:id="rId6" w:tgtFrame="_blank" w:history="1">
        <w:r w:rsidR="00D10C40" w:rsidRPr="00345AD6">
          <w:rPr>
            <w:rStyle w:val="Hiperhivatkozs"/>
            <w:rFonts w:cs="Times New Roman"/>
            <w:color w:val="000000" w:themeColor="text1"/>
            <w:u w:val="none"/>
          </w:rPr>
          <w:t>Buckley</w:t>
        </w:r>
      </w:hyperlink>
      <w:r w:rsidR="00D10C40">
        <w:rPr>
          <w:rStyle w:val="pg-product-author-name"/>
          <w:rFonts w:cs="Times New Roman"/>
          <w:color w:val="000000" w:themeColor="text1"/>
          <w:shd w:val="clear" w:color="auto" w:fill="FFFFFF"/>
        </w:rPr>
        <w:t xml:space="preserve"> RE,</w:t>
      </w:r>
      <w:r w:rsidR="00D10C40" w:rsidRPr="00345AD6">
        <w:rPr>
          <w:rFonts w:cs="Times New Roman"/>
          <w:color w:val="000000" w:themeColor="text1"/>
          <w:shd w:val="clear" w:color="auto" w:fill="FFFFFF"/>
        </w:rPr>
        <w:t> </w:t>
      </w:r>
      <w:hyperlink r:id="rId7" w:tgtFrame="_blank" w:history="1">
        <w:r w:rsidR="00D10C40" w:rsidRPr="00345AD6">
          <w:rPr>
            <w:rStyle w:val="Hiperhivatkozs"/>
            <w:rFonts w:cs="Times New Roman"/>
            <w:color w:val="000000" w:themeColor="text1"/>
            <w:u w:val="none"/>
          </w:rPr>
          <w:t>Moran</w:t>
        </w:r>
      </w:hyperlink>
      <w:r w:rsidR="00D10C40" w:rsidRPr="00345AD6">
        <w:rPr>
          <w:rFonts w:cs="Times New Roman"/>
          <w:color w:val="000000" w:themeColor="text1"/>
          <w:shd w:val="clear" w:color="auto" w:fill="FFFFFF"/>
        </w:rPr>
        <w:t> </w:t>
      </w:r>
      <w:r w:rsidR="00D10C40">
        <w:rPr>
          <w:rFonts w:cs="Times New Roman"/>
          <w:color w:val="000000" w:themeColor="text1"/>
          <w:shd w:val="clear" w:color="auto" w:fill="FFFFFF"/>
        </w:rPr>
        <w:t xml:space="preserve">CG, </w:t>
      </w:r>
      <w:hyperlink r:id="rId8" w:tgtFrame="_blank" w:history="1">
        <w:r w:rsidR="00D10C40" w:rsidRPr="00345AD6">
          <w:rPr>
            <w:rStyle w:val="Hiperhivatkozs"/>
            <w:rFonts w:cs="Times New Roman"/>
            <w:color w:val="000000" w:themeColor="text1"/>
            <w:u w:val="none"/>
          </w:rPr>
          <w:t>Apivatthakakul</w:t>
        </w:r>
      </w:hyperlink>
      <w:r w:rsidR="00D10C40">
        <w:rPr>
          <w:rStyle w:val="pg-product-author-name"/>
          <w:rFonts w:cs="Times New Roman"/>
          <w:color w:val="000000" w:themeColor="text1"/>
          <w:shd w:val="clear" w:color="auto" w:fill="FFFFFF"/>
        </w:rPr>
        <w:t xml:space="preserve"> T: AO Principles of Fracture Management Vol. 2. </w:t>
      </w:r>
      <w:proofErr w:type="gramStart"/>
      <w:r w:rsidR="00D10C40">
        <w:rPr>
          <w:rStyle w:val="pg-product-author-name"/>
          <w:rFonts w:cs="Times New Roman"/>
          <w:color w:val="000000" w:themeColor="text1"/>
          <w:shd w:val="clear" w:color="auto" w:fill="FFFFFF"/>
        </w:rPr>
        <w:t>6.5  745</w:t>
      </w:r>
      <w:proofErr w:type="gramEnd"/>
      <w:r w:rsidR="00D10C40">
        <w:rPr>
          <w:rStyle w:val="pg-product-author-name"/>
          <w:rFonts w:cs="Times New Roman"/>
          <w:color w:val="000000" w:themeColor="text1"/>
          <w:shd w:val="clear" w:color="auto" w:fill="FFFFFF"/>
        </w:rPr>
        <w:t>-773 Thieme Verlagsgruppe, Stuttgart, New York, Delhi, Rio de Janeiro 2018</w:t>
      </w:r>
    </w:p>
    <w:p w:rsidR="00DF28A3" w:rsidRDefault="00D10C40" w:rsidP="00147FA1">
      <w:pPr>
        <w:pStyle w:val="Standard"/>
        <w:ind w:firstLine="708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3. </w:t>
      </w:r>
      <w:r w:rsidR="00147FA1">
        <w:rPr>
          <w:rFonts w:ascii="TimesNewRomanPSMT" w:hAnsi="TimesNewRomanPSMT"/>
        </w:rPr>
        <w:t xml:space="preserve"> </w:t>
      </w:r>
      <w:r w:rsidR="00DF28A3">
        <w:rPr>
          <w:rFonts w:ascii="TimesNewRomanPSMT" w:hAnsi="TimesNewRomanPSMT"/>
        </w:rPr>
        <w:t>Bosse MJ., Poka A., Reinert CM., Ellwanger F. et al.: Heterotopic ossification as a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complication of acetabular fracture. Prophylaxis with low-dose irradiation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J Bone Joint Surg Am. 1988</w:t>
      </w:r>
      <w:proofErr w:type="gramStart"/>
      <w:r>
        <w:rPr>
          <w:rFonts w:ascii="TimesNewRomanPSMT" w:hAnsi="TimesNewRomanPSMT"/>
        </w:rPr>
        <w:t>;70:1231</w:t>
      </w:r>
      <w:proofErr w:type="gramEnd"/>
      <w:r>
        <w:rPr>
          <w:rFonts w:ascii="TimesNewRomanPSMT" w:hAnsi="TimesNewRomanPSMT"/>
        </w:rPr>
        <w:t>-1237.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 w:rsidR="00147FA1">
        <w:rPr>
          <w:rFonts w:ascii="TimesNewRomanPSMT" w:hAnsi="TimesNewRomanPSMT"/>
        </w:rPr>
        <w:t>4.</w:t>
      </w:r>
      <w:r>
        <w:rPr>
          <w:rFonts w:ascii="TimesNewRomanPSMT" w:hAnsi="TimesNewRomanPSMT"/>
        </w:rPr>
        <w:t xml:space="preserve"> Giannoudis P. V., Grotz M. R. W., Papakostidis C., Dinopoulos $H.: Operative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treatment of displaced fractures of the acetabulum A meta-analysis; J Bone Joint Surg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Br VOL. 87-B, No. 1, JANUARY 2005</w:t>
      </w:r>
    </w:p>
    <w:p w:rsidR="00DF28A3" w:rsidRDefault="00147FA1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5. </w:t>
      </w:r>
      <w:r w:rsidR="00DF28A3">
        <w:rPr>
          <w:rFonts w:ascii="TimesNewRomanPSMT" w:hAnsi="TimesNewRomanPSMT"/>
        </w:rPr>
        <w:t>Harvie P</w:t>
      </w:r>
      <w:proofErr w:type="gramStart"/>
      <w:r w:rsidR="00DF28A3">
        <w:rPr>
          <w:rFonts w:ascii="TimesNewRomanPSMT" w:hAnsi="TimesNewRomanPSMT"/>
        </w:rPr>
        <w:t>. ,</w:t>
      </w:r>
      <w:proofErr w:type="gramEnd"/>
      <w:r w:rsidR="00DF28A3">
        <w:rPr>
          <w:rFonts w:ascii="TimesNewRomanPSMT" w:hAnsi="TimesNewRomanPSMT"/>
        </w:rPr>
        <w:t xml:space="preserve"> Chesser T.J.S., Ward A.J.: The Bristol regional pelvic and acetabular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fracture service: Workload implications of managing the polytraumatised patient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Injury, Int. J. Care Injured (2008) 39, 839—843</w:t>
      </w:r>
    </w:p>
    <w:p w:rsidR="00DF28A3" w:rsidRDefault="00147FA1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6.</w:t>
      </w:r>
      <w:r w:rsidR="00DF28A3">
        <w:rPr>
          <w:rFonts w:ascii="TimesNewRomanPSMT" w:hAnsi="TimesNewRomanPSMT"/>
        </w:rPr>
        <w:t xml:space="preserve"> Helfet DL., Borrelli J., DiPasquale T., Sanders R.: Stabilization of acetabular fractures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proofErr w:type="gramStart"/>
      <w:r>
        <w:rPr>
          <w:rFonts w:ascii="TimesNewRomanPSMT" w:hAnsi="TimesNewRomanPSMT"/>
        </w:rPr>
        <w:t>in</w:t>
      </w:r>
      <w:proofErr w:type="gramEnd"/>
      <w:r>
        <w:rPr>
          <w:rFonts w:ascii="TimesNewRomanPSMT" w:hAnsi="TimesNewRomanPSMT"/>
        </w:rPr>
        <w:t xml:space="preserve"> elderly patients J Bone Joint Surg Am. 1992;74:753-765.</w:t>
      </w:r>
    </w:p>
    <w:p w:rsidR="00DF28A3" w:rsidRDefault="00147FA1" w:rsidP="00DF28A3">
      <w:pPr>
        <w:pStyle w:val="Standard"/>
      </w:pPr>
      <w:r>
        <w:rPr>
          <w:rFonts w:ascii="TimesNewRomanPSMT" w:hAnsi="TimesNewRomanPSMT"/>
        </w:rPr>
        <w:tab/>
        <w:t>7</w:t>
      </w:r>
      <w:r w:rsidR="00DF28A3">
        <w:rPr>
          <w:rFonts w:ascii="TimesNewRomanPSMT" w:hAnsi="TimesNewRomanPSMT"/>
        </w:rPr>
        <w:t xml:space="preserve">. </w:t>
      </w:r>
      <w:r w:rsidR="00DF28A3">
        <w:rPr>
          <w:color w:val="000000"/>
        </w:rPr>
        <w:t xml:space="preserve">Keel MJ., Ecker TM., Cullmann JL., Bergmann M., Bonel HM, Buchler L., Siebenrock </w:t>
      </w:r>
      <w:r w:rsidR="00DF28A3">
        <w:rPr>
          <w:color w:val="000000"/>
        </w:rPr>
        <w:tab/>
        <w:t xml:space="preserve">KA., Bastian JD.: The Pararectus approach for anterior intrapelvic management of </w:t>
      </w:r>
      <w:r w:rsidR="00DF28A3">
        <w:rPr>
          <w:color w:val="000000"/>
        </w:rPr>
        <w:tab/>
        <w:t>acetabular fractures: an anatomical study and clinical evaluation. J Bone Joint</w:t>
      </w:r>
    </w:p>
    <w:p w:rsidR="00DF28A3" w:rsidRDefault="00DF28A3" w:rsidP="00DF28A3">
      <w:pPr>
        <w:pStyle w:val="Standard"/>
      </w:pPr>
      <w:r>
        <w:rPr>
          <w:color w:val="000000"/>
        </w:rPr>
        <w:tab/>
        <w:t>Surg Br 2012; 94:405–411.</w:t>
      </w:r>
    </w:p>
    <w:p w:rsidR="00DF28A3" w:rsidRDefault="00DF28A3" w:rsidP="00DF28A3">
      <w:pPr>
        <w:pStyle w:val="Standard"/>
      </w:pPr>
      <w:r>
        <w:rPr>
          <w:color w:val="000000"/>
        </w:rPr>
        <w:tab/>
      </w:r>
      <w:r w:rsidR="00147FA1">
        <w:rPr>
          <w:color w:val="000000"/>
        </w:rPr>
        <w:t>8.</w:t>
      </w:r>
      <w:r>
        <w:rPr>
          <w:color w:val="000000"/>
        </w:rPr>
        <w:t xml:space="preserve">  </w:t>
      </w:r>
      <w:r>
        <w:rPr>
          <w:rFonts w:ascii="TimesNewRomanPSMT" w:hAnsi="TimesNewRomanPSMT"/>
        </w:rPr>
        <w:t>Martínez F. J. A., Mateu J. M. M., Ferrero V. T.: The role of radiotherapy for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prevention of heterotopic ossification after major hip surgery Clin Transl Oncol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(2007) 9:28-31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 w:rsidR="00147FA1">
        <w:rPr>
          <w:rFonts w:ascii="TimesNewRomanPSMT" w:hAnsi="TimesNewRomanPSMT"/>
        </w:rPr>
        <w:t>9</w:t>
      </w:r>
      <w:r>
        <w:rPr>
          <w:rFonts w:ascii="TimesNewRomanPSMT" w:hAnsi="TimesNewRomanPSMT"/>
        </w:rPr>
        <w:t>. Mears, D.C., Velyvis, J.H. &amp; Chang, C.P. Displaced acetabular fractures managed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operatively: indicators of outcome. (2003). Clin Orthop Relat Res, 173-86.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r w:rsidR="00147FA1">
        <w:rPr>
          <w:rFonts w:ascii="TimesNewRomanPSMT" w:hAnsi="TimesNewRomanPSMT"/>
        </w:rPr>
        <w:t>10</w:t>
      </w:r>
      <w:r>
        <w:rPr>
          <w:rFonts w:ascii="TimesNewRomanPSMT" w:hAnsi="TimesNewRomanPSMT"/>
        </w:rPr>
        <w:t>. Moed B. R., Yu P. H. Gruson K. I.: Functional Outcomes of Acetabular Fractures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J Bone Joint Surg Am. 2003</w:t>
      </w:r>
      <w:proofErr w:type="gramStart"/>
      <w:r>
        <w:rPr>
          <w:rFonts w:ascii="TimesNewRomanPSMT" w:hAnsi="TimesNewRomanPSMT"/>
        </w:rPr>
        <w:t>;85:1879</w:t>
      </w:r>
      <w:proofErr w:type="gramEnd"/>
      <w:r>
        <w:rPr>
          <w:rFonts w:ascii="TimesNewRomanPSMT" w:hAnsi="TimesNewRomanPSMT"/>
        </w:rPr>
        <w:t>-1883.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1</w:t>
      </w:r>
      <w:r w:rsidR="00147FA1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>. Moed, B.R., WillsonCarr, S.E. &amp; Watson, J.T. Results of operative treatment of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fractures of the posterior wall of the acetabulum. (2002). J Bone Joint Surg Am, 84-A,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752-8.</w:t>
      </w:r>
    </w:p>
    <w:p w:rsidR="00DF28A3" w:rsidRDefault="00147FA1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lastRenderedPageBreak/>
        <w:tab/>
        <w:t>12</w:t>
      </w:r>
      <w:r w:rsidR="00DF28A3">
        <w:rPr>
          <w:rFonts w:ascii="TimesNewRomanPSMT" w:hAnsi="TimesNewRomanPSMT"/>
        </w:rPr>
        <w:t>. Moore K. D., Goss K., Anglen J. O.: Indomethacin versus radiation therapy for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prophylaxis against heterotopic ossification in acetabular fractures J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BoneJoint Surg [Br] VOL. 80-B, NO. 2, MARCH 1998</w:t>
      </w:r>
    </w:p>
    <w:p w:rsidR="00DF28A3" w:rsidRDefault="00147FA1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13</w:t>
      </w:r>
      <w:r w:rsidR="00DF28A3">
        <w:rPr>
          <w:rFonts w:ascii="TimesNewRomanPSMT" w:hAnsi="TimesNewRomanPSMT"/>
        </w:rPr>
        <w:t>. Routt ML., Swiontkowski MF.: Operative treatment of complex acetabular fractures.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Combined anterior and posterior exposures during the same procedure J Bone Joint</w:t>
      </w:r>
    </w:p>
    <w:p w:rsidR="00DF28A3" w:rsidRDefault="00DF28A3" w:rsidP="00DF28A3">
      <w:pPr>
        <w:pStyle w:val="Standard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>Surg Am. 1990</w:t>
      </w:r>
      <w:proofErr w:type="gramStart"/>
      <w:r>
        <w:rPr>
          <w:rFonts w:ascii="TimesNewRomanPSMT" w:hAnsi="TimesNewRomanPSMT"/>
        </w:rPr>
        <w:t>;72:897</w:t>
      </w:r>
      <w:proofErr w:type="gramEnd"/>
      <w:r>
        <w:rPr>
          <w:rFonts w:ascii="TimesNewRomanPSMT" w:hAnsi="TimesNewRomanPSMT"/>
        </w:rPr>
        <w:t>-904.</w:t>
      </w:r>
    </w:p>
    <w:p w:rsidR="00DF28A3" w:rsidRDefault="00DF28A3" w:rsidP="00DF28A3">
      <w:pPr>
        <w:pStyle w:val="Standard"/>
      </w:pPr>
      <w:r>
        <w:rPr>
          <w:rFonts w:ascii="TimesNewRomanPSMT" w:hAnsi="TimesNewRomanPSMT"/>
        </w:rPr>
        <w:t xml:space="preserve">           </w:t>
      </w:r>
      <w:r>
        <w:tab/>
        <w:t>1</w:t>
      </w:r>
      <w:r w:rsidR="00147FA1">
        <w:t>4</w:t>
      </w:r>
      <w:r>
        <w:t xml:space="preserve">.Resch H., Krappinger D., Moroder P., Auffarth A., Blauth., Becker J.: Treatment of </w:t>
      </w:r>
      <w:r>
        <w:tab/>
        <w:t xml:space="preserve">acetabular fractures in older patients-introduction of a new implant for primary total hip </w:t>
      </w:r>
      <w:r>
        <w:tab/>
        <w:t>arthroplasty Arch Orthop Trauma Surg 2017; 137:549-556</w:t>
      </w:r>
    </w:p>
    <w:p w:rsidR="002A03DE" w:rsidRPr="002A03DE" w:rsidRDefault="002A03DE" w:rsidP="002A03DE">
      <w:pPr>
        <w:pStyle w:val="Standard"/>
        <w:ind w:left="708"/>
        <w:jc w:val="both"/>
        <w:rPr>
          <w:rFonts w:ascii="TimesNewRomanPS-ItalicMT" w:hAnsi="TimesNewRomanPS-ItalicMT"/>
          <w:bCs/>
          <w:color w:val="000000" w:themeColor="text1"/>
        </w:rPr>
      </w:pPr>
      <w:r w:rsidRPr="002A03DE">
        <w:rPr>
          <w:color w:val="000000" w:themeColor="text1"/>
        </w:rPr>
        <w:t>1</w:t>
      </w:r>
      <w:r w:rsidR="00147FA1">
        <w:rPr>
          <w:color w:val="000000" w:themeColor="text1"/>
        </w:rPr>
        <w:t>5</w:t>
      </w:r>
      <w:r w:rsidRPr="002A03DE">
        <w:rPr>
          <w:color w:val="000000" w:themeColor="text1"/>
        </w:rPr>
        <w:t xml:space="preserve">. </w:t>
      </w:r>
      <w:r w:rsidRPr="002A03DE">
        <w:rPr>
          <w:rFonts w:ascii="TimesNewRomanPS-ItalicMT" w:hAnsi="TimesNewRomanPS-ItalicMT"/>
          <w:bCs/>
          <w:color w:val="000000" w:themeColor="text1"/>
        </w:rPr>
        <w:t xml:space="preserve">Szita János: Acetabulumtörések in Renner Antal </w:t>
      </w:r>
      <w:proofErr w:type="gramStart"/>
      <w:r w:rsidRPr="002A03DE">
        <w:rPr>
          <w:rFonts w:ascii="TimesNewRomanPS-ItalicMT" w:hAnsi="TimesNewRomanPS-ItalicMT"/>
          <w:bCs/>
          <w:color w:val="000000" w:themeColor="text1"/>
        </w:rPr>
        <w:t>szerk.:</w:t>
      </w:r>
      <w:proofErr w:type="gramEnd"/>
      <w:r w:rsidRPr="002A03DE">
        <w:rPr>
          <w:rFonts w:ascii="TimesNewRomanPS-ItalicMT" w:hAnsi="TimesNewRomanPS-ItalicMT"/>
          <w:bCs/>
          <w:color w:val="000000" w:themeColor="text1"/>
        </w:rPr>
        <w:t xml:space="preserve"> Traumatológia tankönyv  7.1.2. 663-674.old. Medicina Könyvkiadó Zrt., Budapest, 2011.</w:t>
      </w:r>
    </w:p>
    <w:p w:rsidR="00DF28A3" w:rsidRPr="002A03DE" w:rsidRDefault="00DF28A3" w:rsidP="00DF28A3">
      <w:pPr>
        <w:pStyle w:val="Standard"/>
        <w:rPr>
          <w:color w:val="000000" w:themeColor="text1"/>
        </w:rPr>
      </w:pPr>
      <w:r w:rsidRPr="002A03DE">
        <w:rPr>
          <w:rFonts w:ascii="WwqhsvSTIX-Regular" w:hAnsi="WwqhsvSTIX-Regular"/>
          <w:color w:val="000000" w:themeColor="text1"/>
          <w:sz w:val="17"/>
        </w:rPr>
        <w:tab/>
      </w:r>
      <w:r w:rsidR="002A03DE" w:rsidRPr="002A03DE">
        <w:rPr>
          <w:rFonts w:ascii="WwqhsvSTIX-Regular" w:hAnsi="WwqhsvSTIX-Regular"/>
          <w:color w:val="000000" w:themeColor="text1"/>
        </w:rPr>
        <w:t>1</w:t>
      </w:r>
      <w:r w:rsidR="00147FA1">
        <w:rPr>
          <w:rFonts w:ascii="WwqhsvSTIX-Regular" w:hAnsi="WwqhsvSTIX-Regular"/>
          <w:color w:val="000000" w:themeColor="text1"/>
        </w:rPr>
        <w:t>6</w:t>
      </w:r>
      <w:r w:rsidRPr="002A03DE">
        <w:rPr>
          <w:rFonts w:ascii="WwqhsvSTIX-Regular" w:hAnsi="WwqhsvSTIX-Regular"/>
          <w:color w:val="000000" w:themeColor="text1"/>
        </w:rPr>
        <w:t xml:space="preserve">. </w:t>
      </w:r>
      <w:r w:rsidRPr="002A03DE">
        <w:rPr>
          <w:color w:val="000000" w:themeColor="text1"/>
        </w:rPr>
        <w:t>Tidermark J., Blomfeldt R., Ponzer S., Soderqvist A., Tornkvist H.:</w:t>
      </w:r>
    </w:p>
    <w:p w:rsidR="00DF28A3" w:rsidRPr="002A03DE" w:rsidRDefault="00DF28A3" w:rsidP="00DF28A3">
      <w:pPr>
        <w:pStyle w:val="Standard"/>
        <w:rPr>
          <w:color w:val="000000" w:themeColor="text1"/>
        </w:rPr>
      </w:pPr>
      <w:r w:rsidRPr="002A03DE">
        <w:rPr>
          <w:color w:val="000000" w:themeColor="text1"/>
        </w:rPr>
        <w:tab/>
        <w:t>Primary total hip arthroplasty with a Burch-Schneider</w:t>
      </w:r>
    </w:p>
    <w:p w:rsidR="00DF28A3" w:rsidRPr="002A03DE" w:rsidRDefault="00DF28A3" w:rsidP="00DF28A3">
      <w:pPr>
        <w:pStyle w:val="Standard"/>
        <w:rPr>
          <w:color w:val="000000" w:themeColor="text1"/>
        </w:rPr>
      </w:pPr>
      <w:r w:rsidRPr="002A03DE">
        <w:rPr>
          <w:color w:val="000000" w:themeColor="text1"/>
        </w:rPr>
        <w:tab/>
        <w:t>antiprotrusion cage and autologous bone grafting for acetabular</w:t>
      </w:r>
    </w:p>
    <w:p w:rsidR="00DF28A3" w:rsidRPr="002A03DE" w:rsidRDefault="00DF28A3" w:rsidP="00DF28A3">
      <w:pPr>
        <w:pStyle w:val="Standard"/>
        <w:rPr>
          <w:color w:val="000000" w:themeColor="text1"/>
        </w:rPr>
      </w:pPr>
      <w:r w:rsidRPr="002A03DE">
        <w:rPr>
          <w:color w:val="000000" w:themeColor="text1"/>
        </w:rPr>
        <w:tab/>
        <w:t>fractures in elderly patients. J Orthop Trauma 2003</w:t>
      </w:r>
      <w:proofErr w:type="gramStart"/>
      <w:r w:rsidRPr="002A03DE">
        <w:rPr>
          <w:color w:val="000000" w:themeColor="text1"/>
        </w:rPr>
        <w:t>;17:193</w:t>
      </w:r>
      <w:proofErr w:type="gramEnd"/>
      <w:r w:rsidRPr="002A03DE">
        <w:rPr>
          <w:color w:val="000000" w:themeColor="text1"/>
        </w:rPr>
        <w:t>–197</w:t>
      </w:r>
    </w:p>
    <w:p w:rsidR="002A03DE" w:rsidRPr="002A03DE" w:rsidRDefault="002A03DE" w:rsidP="002A03DE">
      <w:pPr>
        <w:pStyle w:val="Standard"/>
        <w:ind w:left="708"/>
        <w:jc w:val="both"/>
        <w:rPr>
          <w:rFonts w:ascii="TimesNewRomanPS-ItalicMT" w:hAnsi="TimesNewRomanPS-ItalicMT"/>
          <w:bCs/>
          <w:color w:val="000000" w:themeColor="text1"/>
        </w:rPr>
      </w:pPr>
      <w:r w:rsidRPr="002A03DE">
        <w:rPr>
          <w:color w:val="000000" w:themeColor="text1"/>
        </w:rPr>
        <w:t>1</w:t>
      </w:r>
      <w:r w:rsidR="00147FA1">
        <w:rPr>
          <w:color w:val="000000" w:themeColor="text1"/>
        </w:rPr>
        <w:t>7</w:t>
      </w:r>
      <w:r w:rsidRPr="002A03DE">
        <w:rPr>
          <w:color w:val="000000" w:themeColor="text1"/>
        </w:rPr>
        <w:t xml:space="preserve">. </w:t>
      </w:r>
      <w:r w:rsidRPr="002A03DE">
        <w:rPr>
          <w:rFonts w:ascii="TimesNewRomanPS-ItalicMT" w:hAnsi="TimesNewRomanPS-ItalicMT"/>
          <w:bCs/>
          <w:color w:val="000000" w:themeColor="text1"/>
        </w:rPr>
        <w:t>Varga Zsigmond: Acetabulumtörések in Fekete Károly-Ács Géza szerk: Traumatológia egyetemi tankönyv 43.fejezet 304-307.old. Medicinia Könyvkiadó Zrt., 2016.</w:t>
      </w:r>
    </w:p>
    <w:p w:rsidR="002A03DE" w:rsidRPr="002A03DE" w:rsidRDefault="002A03DE" w:rsidP="00DF28A3">
      <w:pPr>
        <w:pStyle w:val="Standard"/>
        <w:rPr>
          <w:color w:val="000000" w:themeColor="text1"/>
        </w:rPr>
      </w:pPr>
    </w:p>
    <w:p w:rsidR="00DF28A3" w:rsidRPr="002A03DE" w:rsidRDefault="00DF28A3" w:rsidP="00DF28A3">
      <w:pPr>
        <w:pStyle w:val="Standard"/>
        <w:rPr>
          <w:color w:val="000000" w:themeColor="text1"/>
        </w:rPr>
      </w:pPr>
    </w:p>
    <w:p w:rsidR="00DF28A3" w:rsidRPr="002A03DE" w:rsidRDefault="00DF28A3" w:rsidP="00DF28A3">
      <w:pPr>
        <w:pStyle w:val="Standard"/>
        <w:rPr>
          <w:color w:val="000000" w:themeColor="text1"/>
        </w:rPr>
      </w:pPr>
    </w:p>
    <w:p w:rsidR="00297A08" w:rsidRPr="002A03DE" w:rsidRDefault="00297A08">
      <w:pPr>
        <w:rPr>
          <w:color w:val="000000" w:themeColor="text1"/>
        </w:rPr>
      </w:pPr>
    </w:p>
    <w:sectPr w:rsidR="00297A08" w:rsidRPr="002A03D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</w:font>
  <w:font w:name="TimesNewRomanPSMT">
    <w:altName w:val="Times New Roman"/>
    <w:charset w:val="00"/>
    <w:family w:val="roman"/>
    <w:pitch w:val="variable"/>
  </w:font>
  <w:font w:name="TimesNewRomanPS-ItalicMT">
    <w:altName w:val="Times New Roman"/>
    <w:charset w:val="00"/>
    <w:family w:val="roman"/>
    <w:pitch w:val="variable"/>
  </w:font>
  <w:font w:name="WwqhsvSTIX-Regular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06"/>
    <w:rsid w:val="00147FA1"/>
    <w:rsid w:val="001610C1"/>
    <w:rsid w:val="001B2A62"/>
    <w:rsid w:val="00297A08"/>
    <w:rsid w:val="002A03DE"/>
    <w:rsid w:val="00345AD6"/>
    <w:rsid w:val="00675A13"/>
    <w:rsid w:val="00823711"/>
    <w:rsid w:val="00AA048C"/>
    <w:rsid w:val="00CC1EC4"/>
    <w:rsid w:val="00CD33EA"/>
    <w:rsid w:val="00D10C40"/>
    <w:rsid w:val="00DF28A3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F2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zvegtrzsbehzssal">
    <w:name w:val="Body Text Indent"/>
    <w:basedOn w:val="Norml"/>
    <w:link w:val="SzvegtrzsbehzssalChar"/>
    <w:rsid w:val="00DF28A3"/>
    <w:pPr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28A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g-product-author-name">
    <w:name w:val="pg-product-author-name"/>
    <w:basedOn w:val="Bekezdsalapbettpusa"/>
    <w:rsid w:val="00345AD6"/>
  </w:style>
  <w:style w:type="character" w:styleId="Hiperhivatkozs">
    <w:name w:val="Hyperlink"/>
    <w:basedOn w:val="Bekezdsalapbettpusa"/>
    <w:uiPriority w:val="99"/>
    <w:semiHidden/>
    <w:unhideWhenUsed/>
    <w:rsid w:val="00345A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DF28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Szvegtrzsbehzssal">
    <w:name w:val="Body Text Indent"/>
    <w:basedOn w:val="Norml"/>
    <w:link w:val="SzvegtrzsbehzssalChar"/>
    <w:rsid w:val="00DF28A3"/>
    <w:pPr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DF28A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g-product-author-name">
    <w:name w:val="pg-product-author-name"/>
    <w:basedOn w:val="Bekezdsalapbettpusa"/>
    <w:rsid w:val="00345AD6"/>
  </w:style>
  <w:style w:type="character" w:styleId="Hiperhivatkozs">
    <w:name w:val="Hyperlink"/>
    <w:basedOn w:val="Bekezdsalapbettpusa"/>
    <w:uiPriority w:val="99"/>
    <w:semiHidden/>
    <w:unhideWhenUsed/>
    <w:rsid w:val="00345A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eme.com/search?authors=91681&amp;name=Apivatthakaku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ieme.com/search?authors=91680&amp;name=Mor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hieme.com/search?authors=91679&amp;name=Buckley" TargetMode="External"/><Relationship Id="rId5" Type="http://schemas.openxmlformats.org/officeDocument/2006/relationships/hyperlink" Target="https://www2.aofoundation.org/wps/portal/surger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asszisztencia</Company>
  <LinksUpToDate>false</LinksUpToDate>
  <CharactersWithSpaces>14748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MX</cp:lastModifiedBy>
  <cp:revision>2</cp:revision>
  <dcterms:created xsi:type="dcterms:W3CDTF">2020-01-16T11:31:00Z</dcterms:created>
  <dcterms:modified xsi:type="dcterms:W3CDTF">2020-01-16T11:31:00Z</dcterms:modified>
</cp:coreProperties>
</file>